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F5C86" w14:textId="529F569A" w:rsidR="00D065F2" w:rsidRPr="00991D71" w:rsidRDefault="00D065F2" w:rsidP="00066DD9">
      <w:pPr>
        <w:pStyle w:val="NoSpacing"/>
      </w:pPr>
    </w:p>
    <w:p w14:paraId="79F50CD9" w14:textId="6C08AA48" w:rsidR="00D065F2" w:rsidRDefault="0043481F" w:rsidP="00D065F2">
      <w:pPr>
        <w:rPr>
          <w:rFonts w:ascii="Calibri" w:hAnsi="Calibri" w:cs="Calibri"/>
        </w:rPr>
      </w:pPr>
      <w:r w:rsidRPr="00F767E7">
        <w:rPr>
          <w:rFonts w:ascii="Calibri" w:hAnsi="Calibri" w:cs="Calibri"/>
          <w:b/>
          <w:sz w:val="24"/>
          <w:szCs w:val="24"/>
        </w:rPr>
        <w:t>NIST Question 1</w:t>
      </w:r>
      <w:r w:rsidRPr="0043481F">
        <w:rPr>
          <w:rFonts w:ascii="Calibri" w:hAnsi="Calibri" w:cs="Calibri"/>
          <w:b/>
        </w:rPr>
        <w:t>:</w:t>
      </w:r>
      <w:r w:rsidR="00D065F2" w:rsidRPr="00991D71">
        <w:rPr>
          <w:rFonts w:ascii="Calibri" w:hAnsi="Calibri" w:cs="Calibri"/>
        </w:rPr>
        <w:t xml:space="preserve"> What are the core Federal technology transfer principles and practices that should be protected, and those which should be adapted or changed?</w:t>
      </w:r>
    </w:p>
    <w:p w14:paraId="6FEE9F16" w14:textId="35DB0988" w:rsidR="0043481F" w:rsidRPr="0043481F" w:rsidRDefault="0043481F" w:rsidP="00D065F2">
      <w:pPr>
        <w:rPr>
          <w:rFonts w:ascii="Calibri" w:hAnsi="Calibri" w:cs="Calibri"/>
          <w:b/>
        </w:rPr>
      </w:pPr>
      <w:r w:rsidRPr="00F767E7">
        <w:rPr>
          <w:rFonts w:ascii="Calibri" w:hAnsi="Calibri" w:cs="Calibri"/>
          <w:b/>
          <w:sz w:val="24"/>
          <w:szCs w:val="24"/>
        </w:rPr>
        <w:t>EPA Response</w:t>
      </w:r>
      <w:r w:rsidR="00F767E7">
        <w:rPr>
          <w:rFonts w:ascii="Calibri" w:hAnsi="Calibri" w:cs="Calibri"/>
          <w:b/>
          <w:sz w:val="24"/>
          <w:szCs w:val="24"/>
        </w:rPr>
        <w:t xml:space="preserve"> 2</w:t>
      </w:r>
      <w:r w:rsidRPr="0043481F">
        <w:rPr>
          <w:rFonts w:ascii="Calibri" w:hAnsi="Calibri" w:cs="Calibri"/>
          <w:b/>
        </w:rPr>
        <w:t>:</w:t>
      </w:r>
    </w:p>
    <w:p w14:paraId="630BE2F9" w14:textId="72F9529A" w:rsidR="00A50A1F" w:rsidRPr="00C21FF3" w:rsidRDefault="00553378" w:rsidP="00C75CBE">
      <w:pPr>
        <w:pStyle w:val="ListParagraph"/>
        <w:numPr>
          <w:ilvl w:val="0"/>
          <w:numId w:val="2"/>
        </w:numPr>
        <w:rPr>
          <w:rFonts w:cstheme="minorHAnsi"/>
        </w:rPr>
      </w:pPr>
      <w:r w:rsidRPr="00C75CBE">
        <w:rPr>
          <w:rFonts w:ascii="Calibri" w:hAnsi="Calibri" w:cs="Calibri"/>
        </w:rPr>
        <w:t xml:space="preserve">FTTA, Stevenson-Wydler, Bayh Dole </w:t>
      </w:r>
      <w:r w:rsidR="00D55E81" w:rsidRPr="00C75CBE">
        <w:rPr>
          <w:rFonts w:ascii="Calibri" w:hAnsi="Calibri" w:cs="Calibri"/>
        </w:rPr>
        <w:t xml:space="preserve">statutes are </w:t>
      </w:r>
      <w:r w:rsidRPr="00C75CBE">
        <w:rPr>
          <w:rFonts w:ascii="Calibri" w:hAnsi="Calibri" w:cs="Calibri"/>
        </w:rPr>
        <w:t xml:space="preserve">all working well, </w:t>
      </w:r>
      <w:r w:rsidR="00D55E81" w:rsidRPr="00C75CBE">
        <w:rPr>
          <w:rFonts w:ascii="Calibri" w:hAnsi="Calibri" w:cs="Calibri"/>
        </w:rPr>
        <w:t xml:space="preserve">and are </w:t>
      </w:r>
      <w:r w:rsidRPr="00C75CBE">
        <w:rPr>
          <w:rFonts w:ascii="Calibri" w:hAnsi="Calibri" w:cs="Calibri"/>
        </w:rPr>
        <w:t xml:space="preserve">essential to effective transfer of technologies, knowledge, and capabilities from </w:t>
      </w:r>
      <w:r w:rsidR="000F0BA8" w:rsidRPr="00C75CBE">
        <w:rPr>
          <w:rFonts w:ascii="Calibri" w:hAnsi="Calibri" w:cs="Calibri"/>
        </w:rPr>
        <w:t>F</w:t>
      </w:r>
      <w:r w:rsidRPr="00C75CBE">
        <w:rPr>
          <w:rFonts w:ascii="Calibri" w:hAnsi="Calibri" w:cs="Calibri"/>
        </w:rPr>
        <w:t>ederal</w:t>
      </w:r>
      <w:r w:rsidR="000059E4">
        <w:rPr>
          <w:rFonts w:ascii="Calibri" w:hAnsi="Calibri" w:cs="Calibri"/>
        </w:rPr>
        <w:t xml:space="preserve"> research and development (R&amp;D)</w:t>
      </w:r>
      <w:r w:rsidRPr="00C75CBE">
        <w:rPr>
          <w:rFonts w:ascii="Calibri" w:hAnsi="Calibri" w:cs="Calibri"/>
        </w:rPr>
        <w:t>.</w:t>
      </w:r>
      <w:r w:rsidR="000059E4">
        <w:rPr>
          <w:rFonts w:ascii="Calibri" w:hAnsi="Calibri" w:cs="Calibri"/>
        </w:rPr>
        <w:t xml:space="preserve"> </w:t>
      </w:r>
      <w:r w:rsidR="00A50A1F" w:rsidRPr="00C75CBE">
        <w:rPr>
          <w:rFonts w:cstheme="minorHAnsi"/>
        </w:rPr>
        <w:t xml:space="preserve">Revise </w:t>
      </w:r>
      <w:bookmarkStart w:id="0" w:name="_Hlk519672579"/>
      <w:r w:rsidR="00A50A1F" w:rsidRPr="00C75CBE">
        <w:rPr>
          <w:rFonts w:cstheme="minorHAnsi"/>
        </w:rPr>
        <w:t xml:space="preserve">language in </w:t>
      </w:r>
      <w:r w:rsidR="00A50A1F" w:rsidRPr="00C75CBE">
        <w:rPr>
          <w:rFonts w:cstheme="minorHAnsi"/>
          <w:lang w:val="en"/>
        </w:rPr>
        <w:t xml:space="preserve">15 U.S. Code § 3710c </w:t>
      </w:r>
      <w:r w:rsidR="00A50A1F" w:rsidRPr="00C75CBE">
        <w:rPr>
          <w:rFonts w:cstheme="minorHAnsi"/>
        </w:rPr>
        <w:t xml:space="preserve">to permit </w:t>
      </w:r>
      <w:r w:rsidR="003F4E2D" w:rsidRPr="00054CB1">
        <w:t>Office</w:t>
      </w:r>
      <w:r w:rsidR="005252DD">
        <w:t>s</w:t>
      </w:r>
      <w:r w:rsidR="003F4E2D" w:rsidRPr="00054CB1">
        <w:t xml:space="preserve"> of Research and Technology Applications </w:t>
      </w:r>
      <w:r w:rsidR="00BB5ED5">
        <w:t xml:space="preserve"> </w:t>
      </w:r>
      <w:r w:rsidR="003F4E2D" w:rsidRPr="00054CB1">
        <w:t xml:space="preserve">(ORTA) </w:t>
      </w:r>
      <w:r w:rsidR="00A50A1F" w:rsidRPr="00C75CBE">
        <w:rPr>
          <w:rFonts w:cstheme="minorHAnsi"/>
        </w:rPr>
        <w:t xml:space="preserve"> to retain a portion of </w:t>
      </w:r>
      <w:r w:rsidR="00A50A1F" w:rsidRPr="00C75CBE">
        <w:rPr>
          <w:rStyle w:val="chapeau"/>
          <w:rFonts w:cstheme="minorHAnsi"/>
          <w:lang w:val="en"/>
        </w:rPr>
        <w:t>royalties o</w:t>
      </w:r>
      <w:bookmarkEnd w:id="0"/>
      <w:r w:rsidR="00A50A1F" w:rsidRPr="00C75CBE">
        <w:rPr>
          <w:rStyle w:val="chapeau"/>
          <w:rFonts w:cstheme="minorHAnsi"/>
          <w:lang w:val="en"/>
        </w:rPr>
        <w:t xml:space="preserve">r other payments received by a Federal agency from the licensing and assignment of inventions under agreements entered into by Federal laboratories under 15 U.S. Code § 3710a </w:t>
      </w:r>
      <w:r w:rsidR="00A50A1F" w:rsidRPr="00C75CBE">
        <w:rPr>
          <w:rFonts w:cstheme="minorHAnsi"/>
        </w:rPr>
        <w:t>to support critical FTTA-related activities beneficial to the laboratory and researchers/inventors.</w:t>
      </w:r>
    </w:p>
    <w:p w14:paraId="7D635B0E" w14:textId="57ED06D7" w:rsidR="00497564" w:rsidRDefault="00497564" w:rsidP="00D065F2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Expand the Other Transaction Authority (OTA) to EPA to enable movement of technology into production and use in situations of a critical or timely nature (i.e., natural disa</w:t>
      </w:r>
      <w:r w:rsidR="004368D5">
        <w:rPr>
          <w:rFonts w:ascii="Calibri" w:hAnsi="Calibri" w:cs="Calibri"/>
        </w:rPr>
        <w:t>sters, national security situations</w:t>
      </w:r>
      <w:r>
        <w:rPr>
          <w:rFonts w:ascii="Calibri" w:hAnsi="Calibri" w:cs="Calibri"/>
        </w:rPr>
        <w:t>, etc.).</w:t>
      </w:r>
    </w:p>
    <w:p w14:paraId="5AAC329F" w14:textId="63B1B1B6" w:rsidR="00553378" w:rsidRDefault="0043481F" w:rsidP="00553378">
      <w:pPr>
        <w:rPr>
          <w:rFonts w:ascii="Calibri" w:hAnsi="Calibri" w:cs="Calibri"/>
        </w:rPr>
      </w:pPr>
      <w:r w:rsidRPr="00F767E7">
        <w:rPr>
          <w:rFonts w:ascii="Calibri" w:hAnsi="Calibri" w:cs="Calibri"/>
          <w:b/>
          <w:sz w:val="24"/>
          <w:szCs w:val="24"/>
        </w:rPr>
        <w:t>NIST Question 2</w:t>
      </w:r>
      <w:r w:rsidRPr="0043481F">
        <w:rPr>
          <w:rFonts w:ascii="Calibri" w:hAnsi="Calibri" w:cs="Calibri"/>
          <w:b/>
        </w:rPr>
        <w:t>:</w:t>
      </w:r>
      <w:r>
        <w:rPr>
          <w:rFonts w:ascii="Calibri" w:hAnsi="Calibri" w:cs="Calibri"/>
        </w:rPr>
        <w:t xml:space="preserve"> </w:t>
      </w:r>
      <w:r w:rsidR="00553378" w:rsidRPr="00991D71">
        <w:rPr>
          <w:rFonts w:ascii="Calibri" w:hAnsi="Calibri" w:cs="Calibri"/>
        </w:rPr>
        <w:t xml:space="preserve"> What are the issues that pose systemic challenges to the effective transfer of technology, knowledge, and capabilities resulting from Federal R&amp;D?  Please consider those identified in the RFI as well as others that may have inhibited collaborations with Federal laboratories, access to other </w:t>
      </w:r>
      <w:r w:rsidR="000F0BA8">
        <w:rPr>
          <w:rFonts w:ascii="Calibri" w:hAnsi="Calibri" w:cs="Calibri"/>
        </w:rPr>
        <w:t>F</w:t>
      </w:r>
      <w:r w:rsidR="00553378" w:rsidRPr="00991D71">
        <w:rPr>
          <w:rFonts w:ascii="Calibri" w:hAnsi="Calibri" w:cs="Calibri"/>
        </w:rPr>
        <w:t>ederally</w:t>
      </w:r>
      <w:r w:rsidR="000059E4">
        <w:rPr>
          <w:rFonts w:ascii="Calibri" w:hAnsi="Calibri" w:cs="Calibri"/>
        </w:rPr>
        <w:t>-</w:t>
      </w:r>
      <w:r w:rsidR="00553378" w:rsidRPr="00991D71">
        <w:rPr>
          <w:rFonts w:ascii="Calibri" w:hAnsi="Calibri" w:cs="Calibri"/>
        </w:rPr>
        <w:t>funded R&amp;D, or commercialization of technologies resulting from Federal R&amp;D.</w:t>
      </w:r>
    </w:p>
    <w:p w14:paraId="221788B8" w14:textId="06771653" w:rsidR="0043481F" w:rsidRPr="0043481F" w:rsidRDefault="0043481F" w:rsidP="00553378">
      <w:pPr>
        <w:rPr>
          <w:rFonts w:ascii="Calibri" w:hAnsi="Calibri" w:cs="Calibri"/>
          <w:b/>
        </w:rPr>
      </w:pPr>
      <w:r w:rsidRPr="00F767E7">
        <w:rPr>
          <w:rFonts w:ascii="Calibri" w:hAnsi="Calibri" w:cs="Calibri"/>
          <w:b/>
          <w:sz w:val="24"/>
          <w:szCs w:val="24"/>
        </w:rPr>
        <w:t>EPA Response</w:t>
      </w:r>
      <w:r w:rsidR="00F767E7" w:rsidRPr="00F767E7">
        <w:rPr>
          <w:rFonts w:ascii="Calibri" w:hAnsi="Calibri" w:cs="Calibri"/>
          <w:b/>
          <w:sz w:val="24"/>
          <w:szCs w:val="24"/>
        </w:rPr>
        <w:t xml:space="preserve"> 2</w:t>
      </w:r>
      <w:r w:rsidRPr="0043481F">
        <w:rPr>
          <w:rFonts w:ascii="Calibri" w:hAnsi="Calibri" w:cs="Calibri"/>
          <w:b/>
        </w:rPr>
        <w:t>:</w:t>
      </w:r>
    </w:p>
    <w:p w14:paraId="0922620B" w14:textId="7BD9B22F" w:rsidR="00553378" w:rsidRPr="00991D71" w:rsidRDefault="00A7229B" w:rsidP="005454CB">
      <w:pPr>
        <w:pStyle w:val="ListParagraph"/>
        <w:numPr>
          <w:ilvl w:val="0"/>
          <w:numId w:val="2"/>
        </w:numPr>
        <w:rPr>
          <w:rFonts w:ascii="Calibri" w:hAnsi="Calibri" w:cs="Calibri"/>
          <w:color w:val="333333"/>
          <w:lang w:val="en"/>
        </w:rPr>
      </w:pPr>
      <w:r w:rsidRPr="00991D71">
        <w:rPr>
          <w:rFonts w:ascii="Calibri" w:hAnsi="Calibri" w:cs="Calibri"/>
        </w:rPr>
        <w:t xml:space="preserve">The use of </w:t>
      </w:r>
      <w:r w:rsidR="00ED3931" w:rsidRPr="00991D71">
        <w:rPr>
          <w:rFonts w:ascii="Calibri" w:hAnsi="Calibri" w:cs="Calibri"/>
        </w:rPr>
        <w:t>Partnership Intermediar</w:t>
      </w:r>
      <w:r w:rsidR="005454CB" w:rsidRPr="00991D71">
        <w:rPr>
          <w:rFonts w:ascii="Calibri" w:hAnsi="Calibri" w:cs="Calibri"/>
        </w:rPr>
        <w:t>y Agreements (PIAs)</w:t>
      </w:r>
      <w:r w:rsidRPr="00991D71">
        <w:rPr>
          <w:rFonts w:ascii="Calibri" w:hAnsi="Calibri" w:cs="Calibri"/>
        </w:rPr>
        <w:t xml:space="preserve"> </w:t>
      </w:r>
      <w:r w:rsidRPr="00830711">
        <w:rPr>
          <w:rFonts w:ascii="Calibri" w:hAnsi="Calibri" w:cs="Calibri"/>
        </w:rPr>
        <w:t xml:space="preserve">to </w:t>
      </w:r>
      <w:r w:rsidR="005454CB" w:rsidRPr="00830711">
        <w:rPr>
          <w:rFonts w:ascii="Calibri" w:hAnsi="Calibri" w:cs="Calibri"/>
          <w:lang w:val="en"/>
        </w:rPr>
        <w:t>increase the likelihood of success in conducting cooperative or joint activities with small business firms, institutions of higher education or educational</w:t>
      </w:r>
      <w:r w:rsidR="002D7EA0" w:rsidRPr="00830711">
        <w:rPr>
          <w:rFonts w:ascii="Calibri" w:hAnsi="Calibri" w:cs="Calibri"/>
          <w:lang w:val="en"/>
        </w:rPr>
        <w:t xml:space="preserve"> institutions</w:t>
      </w:r>
      <w:r w:rsidR="002D7EA0" w:rsidRPr="00830711" w:rsidDel="002D7EA0">
        <w:rPr>
          <w:rFonts w:ascii="Calibri" w:hAnsi="Calibri" w:cs="Calibri"/>
          <w:lang w:val="en"/>
        </w:rPr>
        <w:t xml:space="preserve"> </w:t>
      </w:r>
      <w:r w:rsidR="002D7EA0" w:rsidRPr="00830711">
        <w:rPr>
          <w:rFonts w:ascii="Calibri" w:hAnsi="Calibri" w:cs="Calibri"/>
          <w:lang w:val="en"/>
        </w:rPr>
        <w:t>as</w:t>
      </w:r>
      <w:r w:rsidR="005454CB" w:rsidRPr="00830711">
        <w:rPr>
          <w:rFonts w:ascii="Calibri" w:hAnsi="Calibri" w:cs="Calibri"/>
          <w:lang w:val="en"/>
        </w:rPr>
        <w:t xml:space="preserve"> anticipated under 15 USC 3715 (a)-(c)</w:t>
      </w:r>
      <w:r w:rsidRPr="00830711">
        <w:rPr>
          <w:rFonts w:ascii="Calibri" w:hAnsi="Calibri" w:cs="Calibri"/>
        </w:rPr>
        <w:t xml:space="preserve"> </w:t>
      </w:r>
      <w:r w:rsidRPr="00991D71">
        <w:rPr>
          <w:rFonts w:ascii="Calibri" w:hAnsi="Calibri" w:cs="Calibri"/>
        </w:rPr>
        <w:t xml:space="preserve">must be signed </w:t>
      </w:r>
      <w:r w:rsidR="00096C65">
        <w:rPr>
          <w:rFonts w:ascii="Calibri" w:hAnsi="Calibri" w:cs="Calibri"/>
        </w:rPr>
        <w:t xml:space="preserve">off </w:t>
      </w:r>
      <w:r w:rsidRPr="00991D71">
        <w:rPr>
          <w:rFonts w:ascii="Calibri" w:hAnsi="Calibri" w:cs="Calibri"/>
        </w:rPr>
        <w:t>at the Administrator level</w:t>
      </w:r>
      <w:r w:rsidR="005454CB" w:rsidRPr="00991D71">
        <w:rPr>
          <w:rFonts w:ascii="Calibri" w:hAnsi="Calibri" w:cs="Calibri"/>
        </w:rPr>
        <w:t>,</w:t>
      </w:r>
      <w:r w:rsidR="00ED3931" w:rsidRPr="00991D71">
        <w:rPr>
          <w:rFonts w:ascii="Calibri" w:hAnsi="Calibri" w:cs="Calibri"/>
        </w:rPr>
        <w:t xml:space="preserve"> a barrier to getting these agreements in place.</w:t>
      </w:r>
      <w:r w:rsidR="005454CB" w:rsidRPr="00991D71">
        <w:rPr>
          <w:rFonts w:ascii="Calibri" w:hAnsi="Calibri" w:cs="Calibri"/>
        </w:rPr>
        <w:t xml:space="preserve"> </w:t>
      </w:r>
    </w:p>
    <w:p w14:paraId="0717F9FF" w14:textId="164AEE2C" w:rsidR="003F4189" w:rsidRPr="00991D71" w:rsidRDefault="00FE507B" w:rsidP="00D065F2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991D71">
        <w:rPr>
          <w:rFonts w:ascii="Calibri" w:hAnsi="Calibri" w:cs="Calibri"/>
        </w:rPr>
        <w:t>Federal agencies are challenged with</w:t>
      </w:r>
      <w:r w:rsidR="003F4189" w:rsidRPr="00991D71">
        <w:rPr>
          <w:rFonts w:ascii="Calibri" w:hAnsi="Calibri" w:cs="Calibri"/>
        </w:rPr>
        <w:t xml:space="preserve"> bridging the gap between development of technologies during basic research and maturing those technologies</w:t>
      </w:r>
      <w:r w:rsidR="00735222" w:rsidRPr="00991D71">
        <w:rPr>
          <w:rFonts w:ascii="Calibri" w:hAnsi="Calibri" w:cs="Calibri"/>
        </w:rPr>
        <w:t xml:space="preserve"> to the point where they can be licensed and be ready for </w:t>
      </w:r>
      <w:r w:rsidR="003F4189" w:rsidRPr="00991D71">
        <w:rPr>
          <w:rFonts w:ascii="Calibri" w:hAnsi="Calibri" w:cs="Calibri"/>
        </w:rPr>
        <w:t>sale in the marketplace</w:t>
      </w:r>
      <w:r w:rsidR="00AD6D7D" w:rsidRPr="00991D71">
        <w:rPr>
          <w:rFonts w:ascii="Calibri" w:hAnsi="Calibri" w:cs="Calibri"/>
        </w:rPr>
        <w:t>.</w:t>
      </w:r>
    </w:p>
    <w:p w14:paraId="3DDE4F61" w14:textId="0F5BB3FE" w:rsidR="00553378" w:rsidRDefault="00845C31" w:rsidP="00D065F2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603AD9">
        <w:rPr>
          <w:rFonts w:ascii="Calibri" w:hAnsi="Calibri" w:cs="Calibri"/>
        </w:rPr>
        <w:t>Federal</w:t>
      </w:r>
      <w:r w:rsidR="00866767">
        <w:rPr>
          <w:rFonts w:ascii="Calibri" w:hAnsi="Calibri" w:cs="Calibri"/>
        </w:rPr>
        <w:t xml:space="preserve"> employee inventors are not permitted</w:t>
      </w:r>
      <w:r w:rsidRPr="00603AD9">
        <w:rPr>
          <w:rFonts w:ascii="Calibri" w:hAnsi="Calibri" w:cs="Calibri"/>
        </w:rPr>
        <w:t xml:space="preserve"> to spend time commercializing a technology given ethics rules.</w:t>
      </w:r>
      <w:r w:rsidR="00ED3931" w:rsidRPr="00603AD9">
        <w:rPr>
          <w:rFonts w:ascii="Calibri" w:hAnsi="Calibri" w:cs="Calibri"/>
        </w:rPr>
        <w:t xml:space="preserve"> </w:t>
      </w:r>
    </w:p>
    <w:p w14:paraId="054DAF00" w14:textId="499BA133" w:rsidR="0061662D" w:rsidRDefault="0061662D" w:rsidP="0061662D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EE4871">
        <w:rPr>
          <w:rFonts w:ascii="Calibri" w:hAnsi="Calibri" w:cs="Calibri"/>
        </w:rPr>
        <w:t xml:space="preserve">Many collaborators on technology transfer efforts do not fully understand the unique rules and restraints that apply to </w:t>
      </w:r>
      <w:r w:rsidR="00096C65">
        <w:rPr>
          <w:rFonts w:ascii="Calibri" w:hAnsi="Calibri" w:cs="Calibri"/>
        </w:rPr>
        <w:t>F</w:t>
      </w:r>
      <w:r w:rsidRPr="00EE4871">
        <w:rPr>
          <w:rFonts w:ascii="Calibri" w:hAnsi="Calibri" w:cs="Calibri"/>
        </w:rPr>
        <w:t>ede</w:t>
      </w:r>
      <w:r w:rsidR="00497564">
        <w:rPr>
          <w:rFonts w:ascii="Calibri" w:hAnsi="Calibri" w:cs="Calibri"/>
        </w:rPr>
        <w:t>ral agencies</w:t>
      </w:r>
      <w:r w:rsidR="00096C65">
        <w:rPr>
          <w:rFonts w:ascii="Calibri" w:hAnsi="Calibri" w:cs="Calibri"/>
        </w:rPr>
        <w:t>,</w:t>
      </w:r>
      <w:r w:rsidR="00497564">
        <w:rPr>
          <w:rFonts w:ascii="Calibri" w:hAnsi="Calibri" w:cs="Calibri"/>
        </w:rPr>
        <w:t xml:space="preserve"> because </w:t>
      </w:r>
      <w:r w:rsidR="00096C65">
        <w:rPr>
          <w:rFonts w:ascii="Calibri" w:hAnsi="Calibri" w:cs="Calibri"/>
        </w:rPr>
        <w:t xml:space="preserve">these rules </w:t>
      </w:r>
      <w:r w:rsidR="00497564">
        <w:rPr>
          <w:rFonts w:ascii="Calibri" w:hAnsi="Calibri" w:cs="Calibri"/>
        </w:rPr>
        <w:t>do not</w:t>
      </w:r>
      <w:r w:rsidRPr="00EE4871">
        <w:rPr>
          <w:rFonts w:ascii="Calibri" w:hAnsi="Calibri" w:cs="Calibri"/>
        </w:rPr>
        <w:t xml:space="preserve"> apply in the private sector.    </w:t>
      </w:r>
    </w:p>
    <w:p w14:paraId="0E5BC540" w14:textId="7283F512" w:rsidR="00E2512F" w:rsidRDefault="00E2512F" w:rsidP="0061662D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bookmarkStart w:id="1" w:name="_Hlk519674802"/>
      <w:r>
        <w:rPr>
          <w:rFonts w:ascii="Calibri" w:hAnsi="Calibri" w:cs="Calibri"/>
        </w:rPr>
        <w:t xml:space="preserve">Establish strategies for guidance and </w:t>
      </w:r>
      <w:r w:rsidR="000059E4">
        <w:rPr>
          <w:rFonts w:ascii="Calibri" w:hAnsi="Calibri" w:cs="Calibri"/>
        </w:rPr>
        <w:t xml:space="preserve">technology transfer </w:t>
      </w:r>
      <w:r>
        <w:rPr>
          <w:rFonts w:ascii="Calibri" w:hAnsi="Calibri" w:cs="Calibri"/>
        </w:rPr>
        <w:t>performance measures for leadership, management and staff that encourages and promotes technology transfer</w:t>
      </w:r>
      <w:r w:rsidR="000059E4">
        <w:rPr>
          <w:rFonts w:ascii="Calibri" w:hAnsi="Calibri" w:cs="Calibri"/>
        </w:rPr>
        <w:t>.</w:t>
      </w:r>
    </w:p>
    <w:bookmarkEnd w:id="1"/>
    <w:p w14:paraId="2785C69B" w14:textId="61DE89A3" w:rsidR="003F4189" w:rsidRDefault="0043481F" w:rsidP="003F4189">
      <w:pPr>
        <w:rPr>
          <w:rFonts w:ascii="Calibri" w:hAnsi="Calibri" w:cs="Calibri"/>
        </w:rPr>
      </w:pPr>
      <w:r w:rsidRPr="00F767E7">
        <w:rPr>
          <w:rFonts w:ascii="Calibri" w:hAnsi="Calibri" w:cs="Calibri"/>
          <w:b/>
          <w:sz w:val="24"/>
          <w:szCs w:val="24"/>
        </w:rPr>
        <w:t>NIST Question 3</w:t>
      </w:r>
      <w:r w:rsidRPr="0043481F">
        <w:rPr>
          <w:rFonts w:ascii="Calibri" w:hAnsi="Calibri" w:cs="Calibri"/>
          <w:b/>
        </w:rPr>
        <w:t>:</w:t>
      </w:r>
      <w:r>
        <w:rPr>
          <w:rFonts w:ascii="Calibri" w:hAnsi="Calibri" w:cs="Calibri"/>
        </w:rPr>
        <w:t xml:space="preserve"> </w:t>
      </w:r>
      <w:r w:rsidR="003F4189" w:rsidRPr="00991D71">
        <w:rPr>
          <w:rFonts w:ascii="Calibri" w:hAnsi="Calibri" w:cs="Calibri"/>
        </w:rPr>
        <w:t xml:space="preserve"> What is the proposed solution for each issue that poses a systemic challenge to the effective transfer of technology, knowledge, and capabilities resulting from Federal R&amp;D?  Please consider the approaches identified in the RFI.</w:t>
      </w:r>
    </w:p>
    <w:p w14:paraId="6A9050B8" w14:textId="1CE51A52" w:rsidR="0043481F" w:rsidRPr="0043481F" w:rsidRDefault="0043481F" w:rsidP="003F4189">
      <w:pPr>
        <w:rPr>
          <w:rFonts w:ascii="Calibri" w:hAnsi="Calibri" w:cs="Calibri"/>
          <w:b/>
        </w:rPr>
      </w:pPr>
      <w:r w:rsidRPr="00F767E7">
        <w:rPr>
          <w:rFonts w:ascii="Calibri" w:hAnsi="Calibri" w:cs="Calibri"/>
          <w:b/>
          <w:sz w:val="24"/>
          <w:szCs w:val="24"/>
        </w:rPr>
        <w:t>EPA Response</w:t>
      </w:r>
      <w:r w:rsidR="00F767E7">
        <w:rPr>
          <w:rFonts w:ascii="Calibri" w:hAnsi="Calibri" w:cs="Calibri"/>
          <w:b/>
          <w:sz w:val="24"/>
          <w:szCs w:val="24"/>
        </w:rPr>
        <w:t xml:space="preserve"> 3</w:t>
      </w:r>
      <w:r w:rsidRPr="0043481F">
        <w:rPr>
          <w:rFonts w:ascii="Calibri" w:hAnsi="Calibri" w:cs="Calibri"/>
          <w:b/>
        </w:rPr>
        <w:t>:</w:t>
      </w:r>
    </w:p>
    <w:p w14:paraId="5553F4E2" w14:textId="6DAF3A38" w:rsidR="003F4189" w:rsidRDefault="003F4189" w:rsidP="003F4189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 w:rsidRPr="00991D71">
        <w:rPr>
          <w:rFonts w:ascii="Calibri" w:hAnsi="Calibri" w:cs="Calibri"/>
        </w:rPr>
        <w:lastRenderedPageBreak/>
        <w:t>Allow Partnership Intermediary Agreements (PIAs) and related</w:t>
      </w:r>
      <w:r w:rsidR="00FE507B" w:rsidRPr="00991D71">
        <w:rPr>
          <w:rFonts w:ascii="Calibri" w:hAnsi="Calibri" w:cs="Calibri"/>
        </w:rPr>
        <w:t xml:space="preserve"> FTTA</w:t>
      </w:r>
      <w:r w:rsidRPr="00991D71">
        <w:rPr>
          <w:rFonts w:ascii="Calibri" w:hAnsi="Calibri" w:cs="Calibri"/>
        </w:rPr>
        <w:t xml:space="preserve"> support agreements to be delegated to a lower level, consistent with delegations for signing other FTTA agreements. </w:t>
      </w:r>
    </w:p>
    <w:p w14:paraId="10E66C81" w14:textId="77777777" w:rsidR="003F4189" w:rsidRPr="00991D71" w:rsidRDefault="003F4189" w:rsidP="00E710BC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 w:rsidRPr="00991D71">
        <w:rPr>
          <w:rFonts w:ascii="Calibri" w:hAnsi="Calibri" w:cs="Calibri"/>
        </w:rPr>
        <w:t xml:space="preserve">Provide funding and support for a program similar to DOE’s </w:t>
      </w:r>
      <w:r w:rsidR="00735222" w:rsidRPr="00991D71">
        <w:rPr>
          <w:rFonts w:ascii="Calibri" w:hAnsi="Calibri" w:cs="Calibri"/>
        </w:rPr>
        <w:t>Technology Commercialization Fund, to assist agencies in furthering development of early stage technologies</w:t>
      </w:r>
      <w:r w:rsidR="00E710BC" w:rsidRPr="00991D71">
        <w:rPr>
          <w:rFonts w:ascii="Calibri" w:hAnsi="Calibri" w:cs="Calibri"/>
        </w:rPr>
        <w:t xml:space="preserve"> (reference:  </w:t>
      </w:r>
      <w:hyperlink r:id="rId7" w:history="1">
        <w:r w:rsidR="00ED3931" w:rsidRPr="00991D71">
          <w:rPr>
            <w:rStyle w:val="Hyperlink"/>
            <w:rFonts w:ascii="Calibri" w:hAnsi="Calibri" w:cs="Calibri"/>
          </w:rPr>
          <w:t>https://www.energy.gov/technologytransitions/services/technology-commercialization-fund</w:t>
        </w:r>
      </w:hyperlink>
      <w:r w:rsidR="00E710BC" w:rsidRPr="00991D71">
        <w:rPr>
          <w:rFonts w:ascii="Calibri" w:hAnsi="Calibri" w:cs="Calibri"/>
        </w:rPr>
        <w:t>)</w:t>
      </w:r>
      <w:r w:rsidR="00735222" w:rsidRPr="00991D71">
        <w:rPr>
          <w:rFonts w:ascii="Calibri" w:hAnsi="Calibri" w:cs="Calibri"/>
        </w:rPr>
        <w:t>.</w:t>
      </w:r>
    </w:p>
    <w:p w14:paraId="74B378ED" w14:textId="2F781EB0" w:rsidR="00497564" w:rsidRPr="00497564" w:rsidRDefault="00ED3931" w:rsidP="000972F1">
      <w:pPr>
        <w:pStyle w:val="ListParagraph"/>
        <w:numPr>
          <w:ilvl w:val="0"/>
          <w:numId w:val="3"/>
        </w:numPr>
        <w:spacing w:line="252" w:lineRule="auto"/>
        <w:rPr>
          <w:rFonts w:ascii="Calibri" w:eastAsia="Times New Roman" w:hAnsi="Calibri" w:cs="Calibri"/>
        </w:rPr>
      </w:pPr>
      <w:r w:rsidRPr="00497564">
        <w:rPr>
          <w:rFonts w:ascii="Calibri" w:hAnsi="Calibri" w:cs="Calibri"/>
        </w:rPr>
        <w:t>Modify existing ethics rules</w:t>
      </w:r>
      <w:r w:rsidR="00222B26">
        <w:rPr>
          <w:rFonts w:ascii="Calibri" w:hAnsi="Calibri" w:cs="Calibri"/>
        </w:rPr>
        <w:t xml:space="preserve"> </w:t>
      </w:r>
      <w:r w:rsidR="00222B26" w:rsidRPr="00222B26">
        <w:rPr>
          <w:rFonts w:cstheme="minorHAnsi"/>
        </w:rPr>
        <w:t>(</w:t>
      </w:r>
      <w:r w:rsidR="00222B26" w:rsidRPr="00222B26">
        <w:rPr>
          <w:rFonts w:cstheme="minorHAnsi"/>
          <w:bCs/>
          <w:lang w:val="en"/>
        </w:rPr>
        <w:t>18 U.S.C. § 208)</w:t>
      </w:r>
      <w:r w:rsidRPr="00497564">
        <w:rPr>
          <w:rFonts w:ascii="Calibri" w:hAnsi="Calibri" w:cs="Calibri"/>
        </w:rPr>
        <w:t xml:space="preserve"> for </w:t>
      </w:r>
      <w:r w:rsidR="00727C17">
        <w:rPr>
          <w:rFonts w:ascii="Calibri" w:hAnsi="Calibri" w:cs="Calibri"/>
        </w:rPr>
        <w:t>F</w:t>
      </w:r>
      <w:r w:rsidRPr="00497564">
        <w:rPr>
          <w:rFonts w:ascii="Calibri" w:hAnsi="Calibri" w:cs="Calibri"/>
        </w:rPr>
        <w:t>ederal employees</w:t>
      </w:r>
      <w:r w:rsidR="00AE5C74">
        <w:rPr>
          <w:rFonts w:ascii="Calibri" w:hAnsi="Calibri" w:cs="Calibri"/>
        </w:rPr>
        <w:t>/inventors</w:t>
      </w:r>
      <w:r w:rsidRPr="00497564">
        <w:rPr>
          <w:rFonts w:ascii="Calibri" w:hAnsi="Calibri" w:cs="Calibri"/>
        </w:rPr>
        <w:t xml:space="preserve"> to allow them </w:t>
      </w:r>
      <w:r w:rsidR="00844249">
        <w:rPr>
          <w:rFonts w:ascii="Calibri" w:hAnsi="Calibri" w:cs="Calibri"/>
        </w:rPr>
        <w:t>flexibility</w:t>
      </w:r>
      <w:r w:rsidRPr="00497564">
        <w:rPr>
          <w:rFonts w:ascii="Calibri" w:hAnsi="Calibri" w:cs="Calibri"/>
        </w:rPr>
        <w:t xml:space="preserve"> to participate in commercialization of their inventions, either independently or in coordination with a licensee.</w:t>
      </w:r>
    </w:p>
    <w:p w14:paraId="1501EF60" w14:textId="5EF5DC9B" w:rsidR="00497564" w:rsidRDefault="00497564" w:rsidP="000972F1">
      <w:pPr>
        <w:pStyle w:val="ListParagraph"/>
        <w:numPr>
          <w:ilvl w:val="0"/>
          <w:numId w:val="3"/>
        </w:numPr>
        <w:spacing w:line="252" w:lineRule="auto"/>
        <w:rPr>
          <w:rFonts w:ascii="Calibri" w:eastAsia="Times New Roman" w:hAnsi="Calibri" w:cs="Calibri"/>
        </w:rPr>
      </w:pPr>
      <w:r w:rsidRPr="00497564">
        <w:rPr>
          <w:rFonts w:ascii="Calibri" w:eastAsia="Times New Roman" w:hAnsi="Calibri" w:cs="Calibri"/>
        </w:rPr>
        <w:t xml:space="preserve">Help collaborators understand and accept that there are unique rules and restraints that apply to </w:t>
      </w:r>
      <w:r w:rsidR="00727C17">
        <w:rPr>
          <w:rFonts w:ascii="Calibri" w:eastAsia="Times New Roman" w:hAnsi="Calibri" w:cs="Calibri"/>
        </w:rPr>
        <w:t>F</w:t>
      </w:r>
      <w:r w:rsidRPr="00497564">
        <w:rPr>
          <w:rFonts w:ascii="Calibri" w:eastAsia="Times New Roman" w:hAnsi="Calibri" w:cs="Calibri"/>
        </w:rPr>
        <w:t xml:space="preserve">ederal agencies that don’t apply in the private sector (e.g. </w:t>
      </w:r>
      <w:r w:rsidR="00727C17">
        <w:rPr>
          <w:rFonts w:ascii="Calibri" w:eastAsia="Times New Roman" w:hAnsi="Calibri" w:cs="Calibri"/>
        </w:rPr>
        <w:t>a F</w:t>
      </w:r>
      <w:r w:rsidRPr="00497564">
        <w:rPr>
          <w:rFonts w:ascii="Calibri" w:eastAsia="Times New Roman" w:hAnsi="Calibri" w:cs="Calibri"/>
        </w:rPr>
        <w:t xml:space="preserve">ederal laboratory must avoid the appearance that it is providing “services” in the guise of a CRADA, must comply with the Freedom of Information Act, </w:t>
      </w:r>
      <w:r w:rsidR="00727C17">
        <w:rPr>
          <w:rFonts w:ascii="Calibri" w:eastAsia="Times New Roman" w:hAnsi="Calibri" w:cs="Calibri"/>
        </w:rPr>
        <w:t xml:space="preserve">and </w:t>
      </w:r>
      <w:r w:rsidRPr="00497564">
        <w:rPr>
          <w:rFonts w:ascii="Calibri" w:eastAsia="Times New Roman" w:hAnsi="Calibri" w:cs="Calibri"/>
        </w:rPr>
        <w:t xml:space="preserve">cannot indemnify </w:t>
      </w:r>
      <w:r w:rsidR="00727C17">
        <w:rPr>
          <w:rFonts w:ascii="Calibri" w:eastAsia="Times New Roman" w:hAnsi="Calibri" w:cs="Calibri"/>
        </w:rPr>
        <w:t>a</w:t>
      </w:r>
      <w:r w:rsidR="00727C17" w:rsidRPr="00497564">
        <w:rPr>
          <w:rFonts w:ascii="Calibri" w:eastAsia="Times New Roman" w:hAnsi="Calibri" w:cs="Calibri"/>
        </w:rPr>
        <w:t xml:space="preserve"> </w:t>
      </w:r>
      <w:r w:rsidRPr="00497564">
        <w:rPr>
          <w:rFonts w:ascii="Calibri" w:eastAsia="Times New Roman" w:hAnsi="Calibri" w:cs="Calibri"/>
        </w:rPr>
        <w:t>partner o</w:t>
      </w:r>
      <w:r>
        <w:rPr>
          <w:rFonts w:ascii="Calibri" w:eastAsia="Times New Roman" w:hAnsi="Calibri" w:cs="Calibri"/>
        </w:rPr>
        <w:t>r agree to binding arbitration).</w:t>
      </w:r>
      <w:r w:rsidRPr="00497564">
        <w:rPr>
          <w:rFonts w:ascii="Calibri" w:eastAsia="Times New Roman" w:hAnsi="Calibri" w:cs="Calibri"/>
        </w:rPr>
        <w:t xml:space="preserve"> </w:t>
      </w:r>
    </w:p>
    <w:p w14:paraId="2B5553EB" w14:textId="78C09071" w:rsidR="00927E94" w:rsidRDefault="0043481F" w:rsidP="00927E94">
      <w:pPr>
        <w:ind w:left="360"/>
        <w:rPr>
          <w:rFonts w:ascii="Calibri" w:hAnsi="Calibri" w:cs="Calibri"/>
        </w:rPr>
      </w:pPr>
      <w:r w:rsidRPr="00F767E7">
        <w:rPr>
          <w:rFonts w:ascii="Calibri" w:hAnsi="Calibri" w:cs="Calibri"/>
          <w:b/>
          <w:sz w:val="24"/>
          <w:szCs w:val="24"/>
        </w:rPr>
        <w:t>NIST Question 4</w:t>
      </w:r>
      <w:r w:rsidRPr="0043481F">
        <w:rPr>
          <w:rFonts w:ascii="Calibri" w:hAnsi="Calibri" w:cs="Calibri"/>
          <w:b/>
        </w:rPr>
        <w:t>:</w:t>
      </w:r>
      <w:r>
        <w:rPr>
          <w:rFonts w:ascii="Calibri" w:hAnsi="Calibri" w:cs="Calibri"/>
        </w:rPr>
        <w:t xml:space="preserve">  </w:t>
      </w:r>
      <w:r w:rsidR="00927E94" w:rsidRPr="00991D71">
        <w:rPr>
          <w:rFonts w:ascii="Calibri" w:hAnsi="Calibri" w:cs="Calibri"/>
        </w:rPr>
        <w:t>What are other ways to significantly improve the transfer of technology, knowledge, and capabilities resulting from Federal R&amp;D to benefit U.S. innovation and the economy?  What changes would these proposed improvements require to Federal technology transfer practices, policies, regulations, and legislation?</w:t>
      </w:r>
    </w:p>
    <w:p w14:paraId="0E723CDC" w14:textId="72D64D6E" w:rsidR="0043481F" w:rsidRPr="00991D71" w:rsidRDefault="0043481F" w:rsidP="00927E94">
      <w:pPr>
        <w:ind w:left="360"/>
        <w:rPr>
          <w:rFonts w:ascii="Calibri" w:hAnsi="Calibri" w:cs="Calibri"/>
        </w:rPr>
      </w:pPr>
      <w:r w:rsidRPr="00F767E7">
        <w:rPr>
          <w:rFonts w:ascii="Calibri" w:hAnsi="Calibri" w:cs="Calibri"/>
          <w:b/>
          <w:sz w:val="24"/>
          <w:szCs w:val="24"/>
        </w:rPr>
        <w:t>EPA Response</w:t>
      </w:r>
      <w:r w:rsidR="00F767E7">
        <w:rPr>
          <w:rFonts w:ascii="Calibri" w:hAnsi="Calibri" w:cs="Calibri"/>
          <w:b/>
        </w:rPr>
        <w:t xml:space="preserve"> 4</w:t>
      </w:r>
      <w:r>
        <w:rPr>
          <w:rFonts w:ascii="Calibri" w:hAnsi="Calibri" w:cs="Calibri"/>
          <w:b/>
        </w:rPr>
        <w:t>:</w:t>
      </w:r>
    </w:p>
    <w:p w14:paraId="4AC6B5C5" w14:textId="1F38FF15" w:rsidR="00F95544" w:rsidRPr="00991D71" w:rsidRDefault="00F95544" w:rsidP="00F95544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 w:rsidRPr="00991D71">
        <w:rPr>
          <w:rFonts w:ascii="Calibri" w:hAnsi="Calibri" w:cs="Calibri"/>
        </w:rPr>
        <w:t>Federal technology transfer programs are</w:t>
      </w:r>
      <w:r w:rsidR="00927E94" w:rsidRPr="00991D71">
        <w:rPr>
          <w:rFonts w:ascii="Calibri" w:hAnsi="Calibri" w:cs="Calibri"/>
        </w:rPr>
        <w:t xml:space="preserve"> challenged with fully a</w:t>
      </w:r>
      <w:r w:rsidRPr="00991D71">
        <w:rPr>
          <w:rFonts w:ascii="Calibri" w:hAnsi="Calibri" w:cs="Calibri"/>
        </w:rPr>
        <w:t>ss</w:t>
      </w:r>
      <w:r w:rsidR="00927E94" w:rsidRPr="00991D71">
        <w:rPr>
          <w:rFonts w:ascii="Calibri" w:hAnsi="Calibri" w:cs="Calibri"/>
        </w:rPr>
        <w:t xml:space="preserve">essing the impact of </w:t>
      </w:r>
      <w:r w:rsidR="00727C17">
        <w:rPr>
          <w:rFonts w:ascii="Calibri" w:hAnsi="Calibri" w:cs="Calibri"/>
        </w:rPr>
        <w:t>F</w:t>
      </w:r>
      <w:r w:rsidR="00927E94" w:rsidRPr="00991D71">
        <w:rPr>
          <w:rFonts w:ascii="Calibri" w:hAnsi="Calibri" w:cs="Calibri"/>
        </w:rPr>
        <w:t xml:space="preserve">ederal technology transfer activities.  </w:t>
      </w:r>
      <w:r w:rsidRPr="00991D71">
        <w:rPr>
          <w:rFonts w:ascii="Calibri" w:hAnsi="Calibri" w:cs="Calibri"/>
        </w:rPr>
        <w:t xml:space="preserve">Many activities, such as patenting, take several years to come to fruition, followed </w:t>
      </w:r>
      <w:r w:rsidR="006802A9">
        <w:rPr>
          <w:rFonts w:ascii="Calibri" w:hAnsi="Calibri" w:cs="Calibri"/>
        </w:rPr>
        <w:t>by other</w:t>
      </w:r>
      <w:r w:rsidRPr="00991D71">
        <w:rPr>
          <w:rFonts w:ascii="Calibri" w:hAnsi="Calibri" w:cs="Calibri"/>
        </w:rPr>
        <w:t xml:space="preserve"> significant period</w:t>
      </w:r>
      <w:r w:rsidR="006802A9">
        <w:rPr>
          <w:rFonts w:ascii="Calibri" w:hAnsi="Calibri" w:cs="Calibri"/>
        </w:rPr>
        <w:t>s</w:t>
      </w:r>
      <w:r w:rsidRPr="00991D71">
        <w:rPr>
          <w:rFonts w:ascii="Calibri" w:hAnsi="Calibri" w:cs="Calibri"/>
        </w:rPr>
        <w:t xml:space="preserve"> to find licensees and negotiate licenses, and </w:t>
      </w:r>
      <w:r w:rsidR="006802A9">
        <w:rPr>
          <w:rFonts w:ascii="Calibri" w:hAnsi="Calibri" w:cs="Calibri"/>
        </w:rPr>
        <w:t>for</w:t>
      </w:r>
      <w:r w:rsidRPr="00991D71">
        <w:rPr>
          <w:rFonts w:ascii="Calibri" w:hAnsi="Calibri" w:cs="Calibri"/>
        </w:rPr>
        <w:t xml:space="preserve"> a licensee to move the technology into the marketplace.  This lag time is often significant, and makes it difficult to demonstrate economic impact or process improvements</w:t>
      </w:r>
      <w:r w:rsidR="006802A9">
        <w:rPr>
          <w:rFonts w:ascii="Calibri" w:hAnsi="Calibri" w:cs="Calibri"/>
        </w:rPr>
        <w:t xml:space="preserve"> within short timeframes</w:t>
      </w:r>
      <w:r w:rsidRPr="00991D71">
        <w:rPr>
          <w:rFonts w:ascii="Calibri" w:hAnsi="Calibri" w:cs="Calibri"/>
        </w:rPr>
        <w:t xml:space="preserve">. </w:t>
      </w:r>
    </w:p>
    <w:p w14:paraId="36FB4F1C" w14:textId="3053EE82" w:rsidR="00991D71" w:rsidRPr="00991D71" w:rsidRDefault="00F95544" w:rsidP="00F95544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 w:rsidRPr="00991D71">
        <w:rPr>
          <w:rFonts w:ascii="Calibri" w:hAnsi="Calibri" w:cs="Calibri"/>
        </w:rPr>
        <w:t xml:space="preserve">EPA’s FTTA program </w:t>
      </w:r>
      <w:r w:rsidR="00927E94" w:rsidRPr="00991D71">
        <w:rPr>
          <w:rFonts w:ascii="Calibri" w:hAnsi="Calibri" w:cs="Calibri"/>
        </w:rPr>
        <w:t>could benefit from a consistent definition from Congress regarding how to best defin</w:t>
      </w:r>
      <w:r w:rsidRPr="00991D71">
        <w:rPr>
          <w:rFonts w:ascii="Calibri" w:hAnsi="Calibri" w:cs="Calibri"/>
        </w:rPr>
        <w:t xml:space="preserve">e what is considered successful technology transfer across the </w:t>
      </w:r>
      <w:r w:rsidR="00727C17">
        <w:rPr>
          <w:rFonts w:ascii="Calibri" w:hAnsi="Calibri" w:cs="Calibri"/>
        </w:rPr>
        <w:t>F</w:t>
      </w:r>
      <w:r w:rsidRPr="00991D71">
        <w:rPr>
          <w:rFonts w:ascii="Calibri" w:hAnsi="Calibri" w:cs="Calibri"/>
        </w:rPr>
        <w:t>ederal government</w:t>
      </w:r>
      <w:r w:rsidR="00927E94" w:rsidRPr="00991D71">
        <w:rPr>
          <w:rFonts w:ascii="Calibri" w:hAnsi="Calibri" w:cs="Calibri"/>
        </w:rPr>
        <w:t xml:space="preserve">.  </w:t>
      </w:r>
      <w:r w:rsidRPr="00991D71">
        <w:rPr>
          <w:rFonts w:ascii="Calibri" w:hAnsi="Calibri" w:cs="Calibri"/>
        </w:rPr>
        <w:t xml:space="preserve">Once this definition is provided, further guidance on the metrics that best </w:t>
      </w:r>
      <w:r w:rsidR="00727C17">
        <w:rPr>
          <w:rFonts w:ascii="Calibri" w:hAnsi="Calibri" w:cs="Calibri"/>
        </w:rPr>
        <w:t xml:space="preserve">demonstrate </w:t>
      </w:r>
      <w:r w:rsidRPr="00991D71">
        <w:rPr>
          <w:rFonts w:ascii="Calibri" w:hAnsi="Calibri" w:cs="Calibri"/>
        </w:rPr>
        <w:t xml:space="preserve">these impacts would be helpful.  </w:t>
      </w:r>
      <w:r w:rsidR="00727C17">
        <w:rPr>
          <w:rFonts w:ascii="Calibri" w:hAnsi="Calibri" w:cs="Calibri"/>
        </w:rPr>
        <w:t>For example, while a m</w:t>
      </w:r>
      <w:r w:rsidR="00991D71" w:rsidRPr="00991D71">
        <w:rPr>
          <w:rFonts w:ascii="Calibri" w:hAnsi="Calibri" w:cs="Calibri"/>
        </w:rPr>
        <w:t xml:space="preserve">etric such as job creation can be useful, it </w:t>
      </w:r>
      <w:r w:rsidR="00727C17">
        <w:rPr>
          <w:rFonts w:ascii="Calibri" w:hAnsi="Calibri" w:cs="Calibri"/>
        </w:rPr>
        <w:t>provide</w:t>
      </w:r>
      <w:r w:rsidR="00727C17" w:rsidRPr="00991D71">
        <w:rPr>
          <w:rFonts w:ascii="Calibri" w:hAnsi="Calibri" w:cs="Calibri"/>
        </w:rPr>
        <w:t xml:space="preserve">s </w:t>
      </w:r>
      <w:r w:rsidR="00991D71" w:rsidRPr="00991D71">
        <w:rPr>
          <w:rFonts w:ascii="Calibri" w:hAnsi="Calibri" w:cs="Calibri"/>
        </w:rPr>
        <w:t xml:space="preserve">an incomplete picture given the variety of technologies transferred. </w:t>
      </w:r>
      <w:r w:rsidR="00727C17">
        <w:rPr>
          <w:rFonts w:ascii="Calibri" w:hAnsi="Calibri" w:cs="Calibri"/>
        </w:rPr>
        <w:t>M</w:t>
      </w:r>
      <w:r w:rsidR="00991D71" w:rsidRPr="00991D71">
        <w:rPr>
          <w:rFonts w:ascii="Calibri" w:hAnsi="Calibri" w:cs="Calibri"/>
        </w:rPr>
        <w:t xml:space="preserve">any EPA technologies </w:t>
      </w:r>
      <w:r w:rsidR="00727C17">
        <w:rPr>
          <w:rFonts w:ascii="Calibri" w:hAnsi="Calibri" w:cs="Calibri"/>
        </w:rPr>
        <w:t xml:space="preserve">may </w:t>
      </w:r>
      <w:r w:rsidR="00991D71" w:rsidRPr="00991D71">
        <w:rPr>
          <w:rFonts w:ascii="Calibri" w:hAnsi="Calibri" w:cs="Calibri"/>
        </w:rPr>
        <w:t xml:space="preserve">lead to better environmental health, or </w:t>
      </w:r>
      <w:r w:rsidR="00727C17">
        <w:rPr>
          <w:rFonts w:ascii="Calibri" w:hAnsi="Calibri" w:cs="Calibri"/>
        </w:rPr>
        <w:t xml:space="preserve">at least </w:t>
      </w:r>
      <w:r w:rsidR="00991D71" w:rsidRPr="00991D71">
        <w:rPr>
          <w:rFonts w:ascii="Calibri" w:hAnsi="Calibri" w:cs="Calibri"/>
        </w:rPr>
        <w:t xml:space="preserve">an improved ability to measure contaminants in the environment.  How can environmental and human health improvements adequately </w:t>
      </w:r>
      <w:r w:rsidR="00727C17">
        <w:rPr>
          <w:rFonts w:ascii="Calibri" w:hAnsi="Calibri" w:cs="Calibri"/>
        </w:rPr>
        <w:t xml:space="preserve">be </w:t>
      </w:r>
      <w:r w:rsidR="00991D71" w:rsidRPr="00991D71">
        <w:rPr>
          <w:rFonts w:ascii="Calibri" w:hAnsi="Calibri" w:cs="Calibri"/>
        </w:rPr>
        <w:t xml:space="preserve">captured </w:t>
      </w:r>
      <w:r w:rsidR="00991D71">
        <w:rPr>
          <w:rFonts w:ascii="Calibri" w:hAnsi="Calibri" w:cs="Calibri"/>
        </w:rPr>
        <w:t>via</w:t>
      </w:r>
      <w:r w:rsidR="00991D71" w:rsidRPr="00991D71">
        <w:rPr>
          <w:rFonts w:ascii="Calibri" w:hAnsi="Calibri" w:cs="Calibri"/>
        </w:rPr>
        <w:t xml:space="preserve"> metrics?</w:t>
      </w:r>
    </w:p>
    <w:p w14:paraId="34E44BFF" w14:textId="26F0AFBD" w:rsidR="008E5C63" w:rsidRDefault="00927E94" w:rsidP="008E5C63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 w:rsidRPr="00991D71">
        <w:rPr>
          <w:rFonts w:ascii="Calibri" w:hAnsi="Calibri" w:cs="Calibri"/>
        </w:rPr>
        <w:t xml:space="preserve">Furthermore, </w:t>
      </w:r>
      <w:r w:rsidR="00727C17">
        <w:rPr>
          <w:rFonts w:ascii="Calibri" w:hAnsi="Calibri" w:cs="Calibri"/>
        </w:rPr>
        <w:t>F</w:t>
      </w:r>
      <w:r w:rsidR="00F95544" w:rsidRPr="00991D71">
        <w:rPr>
          <w:rFonts w:ascii="Calibri" w:hAnsi="Calibri" w:cs="Calibri"/>
        </w:rPr>
        <w:t>ederal agencies</w:t>
      </w:r>
      <w:r w:rsidRPr="00991D71">
        <w:rPr>
          <w:rFonts w:ascii="Calibri" w:hAnsi="Calibri" w:cs="Calibri"/>
        </w:rPr>
        <w:t xml:space="preserve"> are challenged by a lack of mechanisms to gather </w:t>
      </w:r>
      <w:r w:rsidR="00F95544" w:rsidRPr="00991D71">
        <w:rPr>
          <w:rFonts w:ascii="Calibri" w:hAnsi="Calibri" w:cs="Calibri"/>
        </w:rPr>
        <w:t xml:space="preserve">various </w:t>
      </w:r>
      <w:r w:rsidRPr="00991D71">
        <w:rPr>
          <w:rFonts w:ascii="Calibri" w:hAnsi="Calibri" w:cs="Calibri"/>
        </w:rPr>
        <w:t xml:space="preserve">metrics </w:t>
      </w:r>
      <w:r w:rsidR="00F95544" w:rsidRPr="00991D71">
        <w:rPr>
          <w:rFonts w:ascii="Calibri" w:hAnsi="Calibri" w:cs="Calibri"/>
        </w:rPr>
        <w:t>that would be beneficial in helping to</w:t>
      </w:r>
      <w:r w:rsidRPr="00991D71">
        <w:rPr>
          <w:rFonts w:ascii="Calibri" w:hAnsi="Calibri" w:cs="Calibri"/>
        </w:rPr>
        <w:t xml:space="preserve"> calculate the impact of </w:t>
      </w:r>
      <w:r w:rsidR="00727C17">
        <w:rPr>
          <w:rFonts w:ascii="Calibri" w:hAnsi="Calibri" w:cs="Calibri"/>
        </w:rPr>
        <w:t>F</w:t>
      </w:r>
      <w:r w:rsidRPr="00991D71">
        <w:rPr>
          <w:rFonts w:ascii="Calibri" w:hAnsi="Calibri" w:cs="Calibri"/>
        </w:rPr>
        <w:t>ederal technology transfer on society</w:t>
      </w:r>
      <w:r w:rsidR="00F95544" w:rsidRPr="00991D71">
        <w:rPr>
          <w:rFonts w:ascii="Calibri" w:hAnsi="Calibri" w:cs="Calibri"/>
        </w:rPr>
        <w:t xml:space="preserve">.  </w:t>
      </w:r>
      <w:r w:rsidR="00225318">
        <w:rPr>
          <w:rFonts w:ascii="Calibri" w:hAnsi="Calibri" w:cs="Calibri"/>
        </w:rPr>
        <w:t>A</w:t>
      </w:r>
      <w:r w:rsidR="00F95544" w:rsidRPr="00991D71">
        <w:rPr>
          <w:rFonts w:ascii="Calibri" w:hAnsi="Calibri" w:cs="Calibri"/>
        </w:rPr>
        <w:t xml:space="preserve">n exemption to the Paperwork Reduction Act </w:t>
      </w:r>
      <w:r w:rsidR="00225318">
        <w:rPr>
          <w:rFonts w:ascii="Calibri" w:hAnsi="Calibri" w:cs="Calibri"/>
        </w:rPr>
        <w:t>that would</w:t>
      </w:r>
      <w:r w:rsidR="00225318" w:rsidRPr="00991D71">
        <w:rPr>
          <w:rFonts w:ascii="Calibri" w:hAnsi="Calibri" w:cs="Calibri"/>
        </w:rPr>
        <w:t xml:space="preserve"> </w:t>
      </w:r>
      <w:r w:rsidR="00F95544" w:rsidRPr="00991D71">
        <w:rPr>
          <w:rFonts w:ascii="Calibri" w:hAnsi="Calibri" w:cs="Calibri"/>
        </w:rPr>
        <w:t xml:space="preserve">allow ORTAs to solicit valuable metrics from their partners and licensees </w:t>
      </w:r>
      <w:r w:rsidR="00225318">
        <w:rPr>
          <w:rFonts w:ascii="Calibri" w:hAnsi="Calibri" w:cs="Calibri"/>
        </w:rPr>
        <w:t xml:space="preserve">could </w:t>
      </w:r>
      <w:r w:rsidR="00F95544" w:rsidRPr="00991D71">
        <w:rPr>
          <w:rFonts w:ascii="Calibri" w:hAnsi="Calibri" w:cs="Calibri"/>
        </w:rPr>
        <w:t xml:space="preserve">assist </w:t>
      </w:r>
      <w:r w:rsidR="00727C17">
        <w:rPr>
          <w:rFonts w:ascii="Calibri" w:hAnsi="Calibri" w:cs="Calibri"/>
        </w:rPr>
        <w:t>in</w:t>
      </w:r>
      <w:r w:rsidR="00F95544" w:rsidRPr="00991D71">
        <w:rPr>
          <w:rFonts w:ascii="Calibri" w:hAnsi="Calibri" w:cs="Calibri"/>
        </w:rPr>
        <w:t xml:space="preserve"> more effective communication of the value and importance of </w:t>
      </w:r>
      <w:r w:rsidR="00225318">
        <w:rPr>
          <w:rFonts w:ascii="Calibri" w:hAnsi="Calibri" w:cs="Calibri"/>
        </w:rPr>
        <w:t>F</w:t>
      </w:r>
      <w:r w:rsidR="00F95544" w:rsidRPr="00991D71">
        <w:rPr>
          <w:rFonts w:ascii="Calibri" w:hAnsi="Calibri" w:cs="Calibri"/>
        </w:rPr>
        <w:t>ederal technology transfer activities to the U.S. economy and society.</w:t>
      </w:r>
    </w:p>
    <w:p w14:paraId="09AE9991" w14:textId="199FD715" w:rsidR="00087D6B" w:rsidRDefault="00087D6B" w:rsidP="00087D6B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To demonstrate Federal technology transfer impact, Federal agencies should strategically develop a plan of action to engage technology transfer with a set percentage of research projects to be funded for the purpose of transferring technology into the market. </w:t>
      </w:r>
      <w:bookmarkStart w:id="2" w:name="_GoBack"/>
      <w:bookmarkEnd w:id="2"/>
    </w:p>
    <w:sectPr w:rsidR="00087D6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64768" w14:textId="77777777" w:rsidR="0097411E" w:rsidRDefault="0097411E" w:rsidP="00866767">
      <w:pPr>
        <w:spacing w:after="0" w:line="240" w:lineRule="auto"/>
      </w:pPr>
      <w:r>
        <w:separator/>
      </w:r>
    </w:p>
  </w:endnote>
  <w:endnote w:type="continuationSeparator" w:id="0">
    <w:p w14:paraId="53D32860" w14:textId="77777777" w:rsidR="0097411E" w:rsidRDefault="0097411E" w:rsidP="00866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121998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84F483" w14:textId="68D0C08E" w:rsidR="00866767" w:rsidRDefault="00866767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7DC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623D85" w14:textId="77777777" w:rsidR="00866767" w:rsidRDefault="008667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C3934" w14:textId="77777777" w:rsidR="0097411E" w:rsidRDefault="0097411E" w:rsidP="00866767">
      <w:pPr>
        <w:spacing w:after="0" w:line="240" w:lineRule="auto"/>
      </w:pPr>
      <w:r>
        <w:separator/>
      </w:r>
    </w:p>
  </w:footnote>
  <w:footnote w:type="continuationSeparator" w:id="0">
    <w:p w14:paraId="449BCD5D" w14:textId="77777777" w:rsidR="0097411E" w:rsidRDefault="0097411E" w:rsidP="00866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1EC42" w14:textId="77777777" w:rsidR="00066DD9" w:rsidRDefault="00066DD9" w:rsidP="00066DD9">
    <w:pPr>
      <w:pStyle w:val="Header"/>
      <w:jc w:val="center"/>
      <w:rPr>
        <w:b/>
        <w:sz w:val="28"/>
        <w:szCs w:val="28"/>
      </w:rPr>
    </w:pPr>
    <w:r w:rsidRPr="00066DD9">
      <w:rPr>
        <w:b/>
        <w:sz w:val="28"/>
        <w:szCs w:val="28"/>
      </w:rPr>
      <w:t xml:space="preserve">Environmental Protection Agency (EPA) Response </w:t>
    </w:r>
  </w:p>
  <w:p w14:paraId="59403835" w14:textId="0032793E" w:rsidR="00066DD9" w:rsidRPr="00066DD9" w:rsidRDefault="00066DD9" w:rsidP="00066DD9">
    <w:pPr>
      <w:pStyle w:val="Header"/>
      <w:jc w:val="center"/>
      <w:rPr>
        <w:b/>
        <w:sz w:val="28"/>
        <w:szCs w:val="28"/>
      </w:rPr>
    </w:pPr>
    <w:r w:rsidRPr="00066DD9">
      <w:rPr>
        <w:b/>
        <w:sz w:val="28"/>
        <w:szCs w:val="28"/>
      </w:rPr>
      <w:t>to NIST Request for Information</w:t>
    </w:r>
  </w:p>
  <w:p w14:paraId="5A27DDF3" w14:textId="77777777" w:rsidR="00066DD9" w:rsidRDefault="00066D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4395B"/>
    <w:multiLevelType w:val="hybridMultilevel"/>
    <w:tmpl w:val="2D822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017CD"/>
    <w:multiLevelType w:val="hybridMultilevel"/>
    <w:tmpl w:val="ABD6A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1171E"/>
    <w:multiLevelType w:val="hybridMultilevel"/>
    <w:tmpl w:val="057E1B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F22B6A"/>
    <w:multiLevelType w:val="hybridMultilevel"/>
    <w:tmpl w:val="E494B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5F2"/>
    <w:rsid w:val="000059E4"/>
    <w:rsid w:val="00066DD9"/>
    <w:rsid w:val="00087D6B"/>
    <w:rsid w:val="00096C65"/>
    <w:rsid w:val="000F0BA8"/>
    <w:rsid w:val="00183013"/>
    <w:rsid w:val="00222B26"/>
    <w:rsid w:val="00225318"/>
    <w:rsid w:val="0027031C"/>
    <w:rsid w:val="00281E49"/>
    <w:rsid w:val="002B21AB"/>
    <w:rsid w:val="002D7EA0"/>
    <w:rsid w:val="00321AB8"/>
    <w:rsid w:val="003F4189"/>
    <w:rsid w:val="003F4E2D"/>
    <w:rsid w:val="00404C3F"/>
    <w:rsid w:val="0043481F"/>
    <w:rsid w:val="004368D5"/>
    <w:rsid w:val="004805A9"/>
    <w:rsid w:val="00497564"/>
    <w:rsid w:val="005252DD"/>
    <w:rsid w:val="005269EB"/>
    <w:rsid w:val="005454CB"/>
    <w:rsid w:val="00553378"/>
    <w:rsid w:val="00580A3B"/>
    <w:rsid w:val="0058727D"/>
    <w:rsid w:val="005905B8"/>
    <w:rsid w:val="005D110B"/>
    <w:rsid w:val="005D48E9"/>
    <w:rsid w:val="00603AD9"/>
    <w:rsid w:val="0061662D"/>
    <w:rsid w:val="006802A9"/>
    <w:rsid w:val="006C1774"/>
    <w:rsid w:val="00721754"/>
    <w:rsid w:val="00727C17"/>
    <w:rsid w:val="00735222"/>
    <w:rsid w:val="0075790A"/>
    <w:rsid w:val="00777DC9"/>
    <w:rsid w:val="00792FDC"/>
    <w:rsid w:val="007D5329"/>
    <w:rsid w:val="0080665A"/>
    <w:rsid w:val="00830711"/>
    <w:rsid w:val="00841E9E"/>
    <w:rsid w:val="00842B00"/>
    <w:rsid w:val="00844249"/>
    <w:rsid w:val="00845C31"/>
    <w:rsid w:val="00865A6F"/>
    <w:rsid w:val="00866767"/>
    <w:rsid w:val="008B0012"/>
    <w:rsid w:val="008C2269"/>
    <w:rsid w:val="008E5C63"/>
    <w:rsid w:val="00927E94"/>
    <w:rsid w:val="0097411E"/>
    <w:rsid w:val="00991D71"/>
    <w:rsid w:val="00A23BD1"/>
    <w:rsid w:val="00A50A1F"/>
    <w:rsid w:val="00A51DCA"/>
    <w:rsid w:val="00A7229B"/>
    <w:rsid w:val="00AD6D7D"/>
    <w:rsid w:val="00AE5C74"/>
    <w:rsid w:val="00AE6AF9"/>
    <w:rsid w:val="00AE75F2"/>
    <w:rsid w:val="00B16FDC"/>
    <w:rsid w:val="00BB1FC8"/>
    <w:rsid w:val="00BB5ED5"/>
    <w:rsid w:val="00C21FF3"/>
    <w:rsid w:val="00C63AA8"/>
    <w:rsid w:val="00C75CBE"/>
    <w:rsid w:val="00CA4A9C"/>
    <w:rsid w:val="00CA5993"/>
    <w:rsid w:val="00CD3767"/>
    <w:rsid w:val="00D065F2"/>
    <w:rsid w:val="00D55E81"/>
    <w:rsid w:val="00D77F31"/>
    <w:rsid w:val="00DA2441"/>
    <w:rsid w:val="00E2512F"/>
    <w:rsid w:val="00E710BC"/>
    <w:rsid w:val="00E83B12"/>
    <w:rsid w:val="00ED3931"/>
    <w:rsid w:val="00F269C9"/>
    <w:rsid w:val="00F767E7"/>
    <w:rsid w:val="00F95544"/>
    <w:rsid w:val="00FB2B98"/>
    <w:rsid w:val="00FD70DC"/>
    <w:rsid w:val="00FE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54AC6"/>
  <w15:chartTrackingRefBased/>
  <w15:docId w15:val="{901F344D-E4EB-4340-A03E-9BD8BD68E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48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5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D393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54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4C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54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54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54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54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54CB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92FDC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92FDC"/>
    <w:rPr>
      <w:color w:val="954F72" w:themeColor="followedHyperlink"/>
      <w:u w:val="single"/>
    </w:rPr>
  </w:style>
  <w:style w:type="character" w:customStyle="1" w:styleId="chapeau">
    <w:name w:val="chapeau"/>
    <w:basedOn w:val="DefaultParagraphFont"/>
    <w:rsid w:val="00A50A1F"/>
  </w:style>
  <w:style w:type="paragraph" w:styleId="Header">
    <w:name w:val="header"/>
    <w:basedOn w:val="Normal"/>
    <w:link w:val="HeaderChar"/>
    <w:uiPriority w:val="99"/>
    <w:unhideWhenUsed/>
    <w:rsid w:val="00866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767"/>
  </w:style>
  <w:style w:type="paragraph" w:styleId="Footer">
    <w:name w:val="footer"/>
    <w:basedOn w:val="Normal"/>
    <w:link w:val="FooterChar"/>
    <w:uiPriority w:val="99"/>
    <w:unhideWhenUsed/>
    <w:rsid w:val="00866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767"/>
  </w:style>
  <w:style w:type="character" w:customStyle="1" w:styleId="Heading1Char">
    <w:name w:val="Heading 1 Char"/>
    <w:basedOn w:val="DefaultParagraphFont"/>
    <w:link w:val="Heading1"/>
    <w:uiPriority w:val="9"/>
    <w:rsid w:val="004348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066D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0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9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2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13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6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52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08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90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108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123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7234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5487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89036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5861402">
                                                          <w:marLeft w:val="240"/>
                                                          <w:marRight w:val="0"/>
                                                          <w:marTop w:val="6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599367">
                                                              <w:marLeft w:val="240"/>
                                                              <w:marRight w:val="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7641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energy.gov/technologytransitions/services/technology-commercialization-fun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Graham, Kathleen</dc:creator>
  <cp:keywords/>
  <dc:description/>
  <cp:lastModifiedBy>Palmer, Patricia</cp:lastModifiedBy>
  <cp:revision>2</cp:revision>
  <cp:lastPrinted>2018-07-17T20:59:00Z</cp:lastPrinted>
  <dcterms:created xsi:type="dcterms:W3CDTF">2018-07-18T21:54:00Z</dcterms:created>
  <dcterms:modified xsi:type="dcterms:W3CDTF">2018-07-18T21:54:00Z</dcterms:modified>
</cp:coreProperties>
</file>